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DA08D9" w:rsidRDefault="00D955DE" w:rsidP="00C66078">
      <w:pPr>
        <w:pStyle w:val="Heading110"/>
        <w:shd w:val="clear" w:color="auto" w:fill="auto"/>
        <w:spacing w:after="120"/>
        <w:ind w:right="23"/>
      </w:pPr>
      <w:bookmarkStart w:id="0" w:name="bookmark0"/>
      <w:bookmarkStart w:id="1" w:name="_GoBack"/>
      <w:bookmarkEnd w:id="1"/>
      <w:r w:rsidRPr="00DA08D9">
        <w:rPr>
          <w:lang w:val="sq"/>
        </w:rPr>
        <w:t>Simulim i Veprimit Klimatik: Teknologjia e Pastër</w:t>
      </w:r>
      <w:bookmarkEnd w:id="0"/>
    </w:p>
    <w:p w:rsidR="00F806F4" w:rsidRPr="00DA08D9" w:rsidRDefault="00D955DE" w:rsidP="00C66078">
      <w:pPr>
        <w:pStyle w:val="Heading110"/>
        <w:shd w:val="clear" w:color="auto" w:fill="auto"/>
        <w:spacing w:after="120"/>
        <w:ind w:right="23"/>
        <w:rPr>
          <w:sz w:val="20"/>
          <w:szCs w:val="20"/>
        </w:rPr>
      </w:pPr>
      <w:r w:rsidRPr="00DA08D9">
        <w:rPr>
          <w:noProof/>
          <w:lang w:eastAsia="en-GB"/>
        </w:rPr>
        <w:drawing>
          <wp:inline distT="0" distB="0" distL="0" distR="0">
            <wp:extent cx="1498600" cy="2476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8084998" name=""/>
                    <pic:cNvPicPr/>
                  </pic:nvPicPr>
                  <pic:blipFill>
                    <a:blip r:embed="rId7"/>
                    <a:stretch>
                      <a:fillRect/>
                    </a:stretch>
                  </pic:blipFill>
                  <pic:spPr>
                    <a:xfrm>
                      <a:off x="0" y="0"/>
                      <a:ext cx="1628454" cy="269109"/>
                    </a:xfrm>
                    <a:prstGeom prst="rect">
                      <a:avLst/>
                    </a:prstGeom>
                  </pic:spPr>
                </pic:pic>
              </a:graphicData>
            </a:graphic>
          </wp:inline>
        </w:drawing>
      </w:r>
    </w:p>
    <w:p w:rsidR="00786F89" w:rsidRPr="00DA08D9" w:rsidRDefault="00D955DE" w:rsidP="00C66078">
      <w:pPr>
        <w:pStyle w:val="Heading210"/>
        <w:pBdr>
          <w:top w:val="single" w:sz="4" w:space="1" w:color="auto"/>
        </w:pBdr>
        <w:shd w:val="clear" w:color="auto" w:fill="auto"/>
        <w:tabs>
          <w:tab w:val="left" w:pos="1440"/>
        </w:tabs>
        <w:spacing w:before="0" w:after="120" w:line="288" w:lineRule="auto"/>
      </w:pPr>
      <w:bookmarkStart w:id="2" w:name="bookmark1"/>
      <w:r w:rsidRPr="00DA08D9">
        <w:rPr>
          <w:lang w:val="sq"/>
        </w:rPr>
        <w:t>Për:</w:t>
      </w:r>
      <w:r w:rsidRPr="00DA08D9">
        <w:rPr>
          <w:lang w:val="sq"/>
        </w:rPr>
        <w:tab/>
      </w:r>
      <w:proofErr w:type="spellStart"/>
      <w:r w:rsidRPr="00DA08D9">
        <w:rPr>
          <w:lang w:val="sq"/>
        </w:rPr>
        <w:t>Kryenegociatorët</w:t>
      </w:r>
      <w:proofErr w:type="spellEnd"/>
      <w:r w:rsidRPr="00DA08D9">
        <w:rPr>
          <w:lang w:val="sq"/>
        </w:rPr>
        <w:t xml:space="preserve"> për Sektorin e Teknologjisë së Pastër</w:t>
      </w:r>
      <w:bookmarkEnd w:id="2"/>
    </w:p>
    <w:p w:rsidR="00786F89" w:rsidRPr="00DA08D9" w:rsidRDefault="00D955DE" w:rsidP="00C66078">
      <w:pPr>
        <w:pStyle w:val="Bodytext30"/>
        <w:shd w:val="clear" w:color="auto" w:fill="auto"/>
        <w:tabs>
          <w:tab w:val="left" w:pos="1440"/>
        </w:tabs>
        <w:spacing w:line="288" w:lineRule="auto"/>
      </w:pPr>
      <w:r w:rsidRPr="00DA08D9">
        <w:rPr>
          <w:lang w:val="sq"/>
        </w:rPr>
        <w:t>Subjekti:</w:t>
      </w:r>
      <w:r w:rsidRPr="00DA08D9">
        <w:rPr>
          <w:lang w:val="sq"/>
        </w:rPr>
        <w:tab/>
        <w:t>Përgatitja për Samitin e Veprimit Klimatik</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sidRPr="00DA08D9">
        <w:rPr>
          <w:rStyle w:val="Bodytext20"/>
          <w:lang w:val="sq"/>
        </w:rPr>
        <w:t>vërejti</w:t>
      </w:r>
      <w:r w:rsidRPr="00DA08D9">
        <w:rPr>
          <w:lang w:val="sq"/>
        </w:rPr>
        <w:t xml:space="preserve"> se: “Emergjenca klimatike është një garë që po e humbim, por është një garë që mund ta fitojmë... Shkenca e përparuar ... na thotë se çdo rritje temperature mbi 1,5 °C do të sjellë dëmtim madhor dhe të pakthyeshëm në ekosistemet që na mbështesin ... Por shkenca gjithashtu na thotë se nuk është tepër vonë. Ne mund t’ia dalim ...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sidRPr="00DA08D9">
        <w:rPr>
          <w:rStyle w:val="Bodytext20"/>
          <w:lang w:val="sq"/>
        </w:rPr>
        <w:t>Provat shkencore</w:t>
      </w:r>
      <w:r w:rsidRPr="00DA08D9">
        <w:rPr>
          <w:lang w:val="sq"/>
        </w:rPr>
        <w:t xml:space="preserve"> janë të qarta: ngrohja mbi këtë kufi do të sjellë ndikime </w:t>
      </w:r>
      <w:proofErr w:type="spellStart"/>
      <w:r w:rsidRPr="00DA08D9">
        <w:rPr>
          <w:lang w:val="sq"/>
        </w:rPr>
        <w:t>katastrofike</w:t>
      </w:r>
      <w:proofErr w:type="spellEnd"/>
      <w:r w:rsidRPr="00DA08D9">
        <w:rPr>
          <w:lang w:val="sq"/>
        </w:rPr>
        <w:t xml:space="preserve"> dhe të pakthyeshme që kërcënojnë shëndetin, begatinë dhe jetën e njerëzve në të gjitha kombet.</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Grupi juaj përfshin drejtorë ekzekutivë, investitorë, ekspertë politikash dhe shkencëtarë në industritë në rritje për energjinë e </w:t>
      </w:r>
      <w:proofErr w:type="spellStart"/>
      <w:r w:rsidRPr="00DA08D9">
        <w:rPr>
          <w:lang w:val="sq"/>
        </w:rPr>
        <w:t>rinovueshme</w:t>
      </w:r>
      <w:proofErr w:type="spellEnd"/>
      <w:r w:rsidRPr="00DA08D9">
        <w:rPr>
          <w:lang w:val="sq"/>
        </w:rPr>
        <w:t xml:space="preserve">, teknologjinë e pastër dhe heqjen teknologjike të karbonit që synojnë në </w:t>
      </w:r>
      <w:proofErr w:type="spellStart"/>
      <w:r w:rsidRPr="00DA08D9">
        <w:rPr>
          <w:lang w:val="sq"/>
        </w:rPr>
        <w:t>dekarbonizimin</w:t>
      </w:r>
      <w:proofErr w:type="spellEnd"/>
      <w:r w:rsidRPr="00DA08D9">
        <w:rPr>
          <w:lang w:val="sq"/>
        </w:rPr>
        <w:t xml:space="preserve"> e botës sonë. Këto industri përfshijnë: energjinë diellore, erën, energjinë hidrike, </w:t>
      </w:r>
      <w:proofErr w:type="spellStart"/>
      <w:r w:rsidRPr="00DA08D9">
        <w:rPr>
          <w:lang w:val="sq"/>
        </w:rPr>
        <w:t>gjeotermike</w:t>
      </w:r>
      <w:proofErr w:type="spellEnd"/>
      <w:r w:rsidRPr="00DA08D9">
        <w:rPr>
          <w:lang w:val="sq"/>
        </w:rPr>
        <w:t>, magazinimin e energjisë, qelizat e karburantit, automjetet elektrike, efikasitetin energjetik, materialet dhe prodhimin ekologjik, ndërtesat e gjelbra, dhe teknologjitë që do të zhvillohen në të ardhmen të energjisë me karbon zero dhe të kapjes së karbonit.</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Prioritetet e politikës suaj janë listuar më poshtë. Por, ju mund të propozoni ose bllokoni çdo politikë të </w:t>
      </w:r>
      <w:proofErr w:type="spellStart"/>
      <w:r w:rsidRPr="00DA08D9">
        <w:rPr>
          <w:lang w:val="sq"/>
        </w:rPr>
        <w:t>disponueshme</w:t>
      </w:r>
      <w:proofErr w:type="spellEnd"/>
      <w:r w:rsidRPr="00DA08D9">
        <w:rPr>
          <w:lang w:val="sq"/>
        </w:rPr>
        <w:t xml:space="preserve">. </w:t>
      </w:r>
    </w:p>
    <w:p w:rsidR="00786F89" w:rsidRPr="00DA08D9" w:rsidRDefault="00D955DE" w:rsidP="00C66078">
      <w:pPr>
        <w:pStyle w:val="Heading1"/>
        <w:spacing w:after="120"/>
        <w:rPr>
          <w:b/>
          <w:lang w:val="sq"/>
        </w:rPr>
      </w:pPr>
      <w:r w:rsidRPr="00DA08D9">
        <w:rPr>
          <w:rStyle w:val="Bodytext2Bold"/>
          <w:lang w:val="sq"/>
        </w:rPr>
        <w:t xml:space="preserve">Bëni që karburantet fosile të paguajnë koston e tyre reale përmes taksave dhe një çmimi të lartë për karbonin. </w:t>
      </w:r>
      <w:r w:rsidRPr="00DA08D9">
        <w:rPr>
          <w:lang w:val="sq"/>
        </w:rPr>
        <w:t>Karburantet fosile do të vazhdojnë të dominojnë sistemin botëror dhe deri më tani janë burimi më i madh i emetimeve të gazeve të efektit serrë që kontribuojnë në ndryshimin e klimës. Çmimet e tregut sot nuk përfshijnë dëme mjedisore dhe sociale që shkaktohen nga karburantet fosile (efektet e tyre të jashtme negative). Gjithashtu, qeveritë në nivel global ofrojnë 775 miliardë deri në 1 trilion dollarë në vit në subvencione për industrinë e karburanteve fosile. Ekonomistët janë dakord se një çmim për karbonin është mënyra më e mirë për të reduktuar emetimet globale të gazeve të efektit serrë. Ju dëshironi një çmim të lartë për karbonin (mbi 50 dollarë për ton CO</w:t>
      </w:r>
      <w:r w:rsidRPr="00DA08D9">
        <w:rPr>
          <w:vertAlign w:val="subscript"/>
          <w:lang w:val="sq"/>
        </w:rPr>
        <w:t>2</w:t>
      </w:r>
      <w:r w:rsidRPr="00DA08D9">
        <w:rPr>
          <w:lang w:val="sq"/>
        </w:rPr>
        <w:t xml:space="preserve">), ndoshta të prezantuar gradualisht në mënyrë që ekonomia të mund të përshtatet. Gjithashtu, industria e karburanteve fosile duhet të taksohet për të korrigjuar dekadat e dëmeve dhe vonesën që ka shkaktuar. Të ardhurat nga taksat mund të ndihmojnë në kompensimin e kostove për </w:t>
      </w:r>
      <w:proofErr w:type="spellStart"/>
      <w:r w:rsidRPr="00DA08D9">
        <w:rPr>
          <w:lang w:val="sq"/>
        </w:rPr>
        <w:t>tranzicionin</w:t>
      </w:r>
      <w:proofErr w:type="spellEnd"/>
      <w:r w:rsidRPr="00DA08D9">
        <w:rPr>
          <w:lang w:val="sq"/>
        </w:rPr>
        <w:t xml:space="preserve"> energjetik të botës dhe për të ndihmuar popullsitë e prekshme ndërsa ato përshtaten për ndikimet klimatike që po ndodhin tashmë.</w:t>
      </w:r>
    </w:p>
    <w:p w:rsidR="00786F89" w:rsidRPr="00DA08D9" w:rsidRDefault="00D955DE" w:rsidP="00C66078">
      <w:pPr>
        <w:pStyle w:val="Heading1"/>
        <w:spacing w:after="120"/>
        <w:rPr>
          <w:b/>
          <w:lang w:val="sq"/>
        </w:rPr>
      </w:pPr>
      <w:bookmarkStart w:id="3" w:name="bookmark2"/>
      <w:r w:rsidRPr="00DA08D9">
        <w:rPr>
          <w:b/>
          <w:bCs/>
          <w:lang w:val="sq"/>
        </w:rPr>
        <w:t xml:space="preserve">Subvenciononi energjinë e </w:t>
      </w:r>
      <w:proofErr w:type="spellStart"/>
      <w:r w:rsidRPr="00DA08D9">
        <w:rPr>
          <w:b/>
          <w:bCs/>
          <w:lang w:val="sq"/>
        </w:rPr>
        <w:t>rinovueshme</w:t>
      </w:r>
      <w:proofErr w:type="spellEnd"/>
      <w:r w:rsidRPr="00DA08D9">
        <w:rPr>
          <w:b/>
          <w:bCs/>
          <w:lang w:val="sq"/>
        </w:rPr>
        <w:t xml:space="preserve"> (p.sh. energjinë diellore, energjinë e erës, </w:t>
      </w:r>
      <w:proofErr w:type="spellStart"/>
      <w:r w:rsidRPr="00DA08D9">
        <w:rPr>
          <w:b/>
          <w:bCs/>
          <w:lang w:val="sq"/>
        </w:rPr>
        <w:t>gjeotermike</w:t>
      </w:r>
      <w:proofErr w:type="spellEnd"/>
      <w:r w:rsidRPr="00DA08D9">
        <w:rPr>
          <w:b/>
          <w:bCs/>
          <w:lang w:val="sq"/>
        </w:rPr>
        <w:t>, energjinë hidrike dhe magazinimin e saj).</w:t>
      </w:r>
      <w:bookmarkEnd w:id="3"/>
      <w:r w:rsidRPr="00DA08D9">
        <w:rPr>
          <w:lang w:val="sq"/>
        </w:rPr>
        <w:t xml:space="preserve"> </w:t>
      </w:r>
      <w:r w:rsidRPr="00DA08D9">
        <w:rPr>
          <w:rStyle w:val="Bodytext21"/>
          <w:lang w:val="sq"/>
        </w:rPr>
        <w:t xml:space="preserve">Industria e energjisë së </w:t>
      </w:r>
      <w:proofErr w:type="spellStart"/>
      <w:r w:rsidRPr="00DA08D9">
        <w:rPr>
          <w:rStyle w:val="Bodytext21"/>
          <w:lang w:val="sq"/>
        </w:rPr>
        <w:t>rinovueshme</w:t>
      </w:r>
      <w:proofErr w:type="spellEnd"/>
      <w:r w:rsidRPr="00DA08D9">
        <w:rPr>
          <w:rStyle w:val="Bodytext21"/>
          <w:lang w:val="sq"/>
        </w:rPr>
        <w:t xml:space="preserve"> rritet me shpejtësi, por vazhdon të japë më pak se 5% të furnizimit të energjisë në botë. Subvencionet do ta ndihmojnë industrinë tuaj të rritet dhe të zhvillojë teknologjinë që nevojitet për të zëvendësuar më shumë </w:t>
      </w:r>
      <w:r w:rsidRPr="00DA08D9">
        <w:rPr>
          <w:rStyle w:val="Bodytext21"/>
          <w:lang w:val="sq"/>
        </w:rPr>
        <w:lastRenderedPageBreak/>
        <w:t>karburante fosile. Magazinimi (p.sh. bateritë, magazinimi termik, energjia hidrike e pompuar) dhe teknologjitë “</w:t>
      </w:r>
      <w:proofErr w:type="spellStart"/>
      <w:r w:rsidRPr="00DA08D9">
        <w:rPr>
          <w:rStyle w:val="Bodytext21"/>
          <w:lang w:val="sq"/>
        </w:rPr>
        <w:t>smart</w:t>
      </w:r>
      <w:proofErr w:type="spellEnd"/>
      <w:r w:rsidRPr="00DA08D9">
        <w:rPr>
          <w:rStyle w:val="Bodytext21"/>
          <w:lang w:val="sq"/>
        </w:rPr>
        <w:t xml:space="preserve"> </w:t>
      </w:r>
      <w:proofErr w:type="spellStart"/>
      <w:r w:rsidRPr="00DA08D9">
        <w:rPr>
          <w:rStyle w:val="Bodytext21"/>
          <w:lang w:val="sq"/>
        </w:rPr>
        <w:t>grid</w:t>
      </w:r>
      <w:proofErr w:type="spellEnd"/>
      <w:r w:rsidRPr="00DA08D9">
        <w:rPr>
          <w:rStyle w:val="Bodytext21"/>
          <w:lang w:val="sq"/>
        </w:rPr>
        <w:t xml:space="preserve">” për energjinë elektrike lejojnë që energjitë e </w:t>
      </w:r>
      <w:proofErr w:type="spellStart"/>
      <w:r w:rsidRPr="00DA08D9">
        <w:rPr>
          <w:rStyle w:val="Bodytext21"/>
          <w:lang w:val="sq"/>
        </w:rPr>
        <w:t>rinovueshme</w:t>
      </w:r>
      <w:proofErr w:type="spellEnd"/>
      <w:r w:rsidRPr="00DA08D9">
        <w:rPr>
          <w:rStyle w:val="Bodytext21"/>
          <w:lang w:val="sq"/>
        </w:rPr>
        <w:t xml:space="preserve"> të ndryshme si era dhe dielli të integrohen në sistemin e energjisë ndërkohë që ofrojnë energji elektrike gjatë gjithë kohës.</w:t>
      </w:r>
    </w:p>
    <w:p w:rsidR="00786F89" w:rsidRPr="00DA08D9" w:rsidRDefault="00D955DE" w:rsidP="00C66078">
      <w:pPr>
        <w:pStyle w:val="Heading1"/>
        <w:spacing w:after="120"/>
        <w:rPr>
          <w:lang w:val="sq"/>
        </w:rPr>
      </w:pPr>
      <w:r w:rsidRPr="00DA08D9">
        <w:rPr>
          <w:b/>
          <w:bCs/>
          <w:lang w:val="sq"/>
        </w:rPr>
        <w:t>Promovoni efikasitetin energjetik dhe elektrifikimin e ndërtesave dhe industrisë</w:t>
      </w:r>
      <w:r w:rsidRPr="00DA08D9">
        <w:rPr>
          <w:lang w:val="sq"/>
        </w:rPr>
        <w:t xml:space="preserve">. Efikasitet energjetik do të thotë më pak përdorim energjie për të ofruar të njëjtin shërbim, si p.sh. ngrohje, ftohje, prodhim etj. Përmirësimi i efikasitetit energjetik mund të reduktojë në mënyrë dramatike emetimet dhe kostot e energjisë për ndërtesat dhe industritë që përdorin në mënyrë intensive energjinë. Elektrifikim nënkupton konvertimin e sistemeve të ngrohjes dhe ftohjes nga karburantet, të tilla si nafta dhe gazi natyror, në pompa nxehtësie më efikase me burim tokësor dhe ajri, të furnizuara në mënyrë ideale nga energjia e </w:t>
      </w:r>
      <w:proofErr w:type="spellStart"/>
      <w:r w:rsidRPr="00DA08D9">
        <w:rPr>
          <w:lang w:val="sq"/>
        </w:rPr>
        <w:t>rinovueshme</w:t>
      </w:r>
      <w:proofErr w:type="spellEnd"/>
      <w:r w:rsidRPr="00DA08D9">
        <w:rPr>
          <w:lang w:val="sq"/>
        </w:rPr>
        <w:t>.</w:t>
      </w:r>
    </w:p>
    <w:p w:rsidR="00786F89" w:rsidRPr="00DA08D9" w:rsidRDefault="00D955DE" w:rsidP="00C66078">
      <w:pPr>
        <w:pStyle w:val="Heading1"/>
        <w:spacing w:after="120"/>
        <w:rPr>
          <w:lang w:val="sq"/>
        </w:rPr>
      </w:pPr>
      <w:r w:rsidRPr="00DA08D9">
        <w:rPr>
          <w:b/>
          <w:bCs/>
          <w:lang w:val="sq"/>
        </w:rPr>
        <w:t>Promovoni efikasitetin energjetik dhe elektrifikimin e transportit</w:t>
      </w:r>
      <w:r w:rsidRPr="00DA08D9">
        <w:rPr>
          <w:lang w:val="sq"/>
        </w:rPr>
        <w:t>. Rreth 15% e emetimeve të gazeve të efektit serrë në botë vjen nga transporti, që aktualisht furnizohet vetëm nga nafta. Kërkesa për transport është në rritje të shpejtë me zhvillimin ekonomik</w:t>
      </w:r>
      <w:r w:rsidRPr="00DA08D9">
        <w:rPr>
          <w:rStyle w:val="Bodytext21"/>
          <w:lang w:val="sq"/>
        </w:rPr>
        <w:t xml:space="preserve"> dhe rritjen e mirëqenies në mbarë botën. Efikasiteti më i madh në transport do të reduktojë në mënyrë të konsiderueshme kërkesën për naftë. Elektrifikimi i automjeteve do t’i jepte mundësinë këtij sektori të rëndësishëm të transportit të kalojë nga nafta në energjitë e </w:t>
      </w:r>
      <w:proofErr w:type="spellStart"/>
      <w:r w:rsidRPr="00DA08D9">
        <w:rPr>
          <w:rStyle w:val="Bodytext21"/>
          <w:lang w:val="sq"/>
        </w:rPr>
        <w:t>rinovueshme</w:t>
      </w:r>
      <w:proofErr w:type="spellEnd"/>
      <w:r w:rsidRPr="00DA08D9">
        <w:rPr>
          <w:rStyle w:val="Bodytext21"/>
          <w:lang w:val="sq"/>
        </w:rPr>
        <w:t>.</w:t>
      </w:r>
    </w:p>
    <w:p w:rsidR="00786F89" w:rsidRPr="00DA08D9" w:rsidRDefault="00D955DE" w:rsidP="00C66078">
      <w:pPr>
        <w:pStyle w:val="Heading1"/>
        <w:spacing w:after="120"/>
        <w:rPr>
          <w:lang w:val="sq"/>
        </w:rPr>
      </w:pPr>
      <w:r w:rsidRPr="00DA08D9">
        <w:rPr>
          <w:b/>
          <w:bCs/>
          <w:lang w:val="sq"/>
        </w:rPr>
        <w:t>Vendosni nëse do të investonit në kërkim-zhvillim për një burim energjie me kosto të ulët dhe zero karbon</w:t>
      </w:r>
      <w:r w:rsidRPr="00DA08D9">
        <w:rPr>
          <w:lang w:val="sq"/>
        </w:rPr>
        <w:t>.</w:t>
      </w:r>
      <w:r w:rsidRPr="00DA08D9">
        <w:rPr>
          <w:rStyle w:val="Bodytext21"/>
          <w:lang w:val="sq"/>
        </w:rPr>
        <w:t xml:space="preserve"> Disa shkencëtarë besojnë se një lloj i ri energjie bërthamore, si </w:t>
      </w:r>
      <w:proofErr w:type="spellStart"/>
      <w:r w:rsidRPr="00DA08D9">
        <w:rPr>
          <w:rStyle w:val="Bodytext21"/>
          <w:lang w:val="sq"/>
        </w:rPr>
        <w:t>thorium</w:t>
      </w:r>
      <w:proofErr w:type="spellEnd"/>
      <w:r w:rsidRPr="00DA08D9">
        <w:rPr>
          <w:rStyle w:val="Bodytext21"/>
          <w:lang w:val="sq"/>
        </w:rPr>
        <w:t xml:space="preserve"> </w:t>
      </w:r>
      <w:proofErr w:type="spellStart"/>
      <w:r w:rsidRPr="00DA08D9">
        <w:rPr>
          <w:rStyle w:val="Bodytext21"/>
          <w:lang w:val="sq"/>
        </w:rPr>
        <w:t>fision</w:t>
      </w:r>
      <w:proofErr w:type="spellEnd"/>
      <w:r w:rsidRPr="00DA08D9">
        <w:rPr>
          <w:rStyle w:val="Bodytext21"/>
          <w:lang w:val="sq"/>
        </w:rPr>
        <w:t xml:space="preserve"> ose fuzioni bërthamor, do të ofronte burimin më të mirë të energjisë për të zëvendësuar karburantet fosile, duke argumentuar se këto </w:t>
      </w:r>
      <w:r w:rsidRPr="00DA08D9">
        <w:rPr>
          <w:lang w:val="sq"/>
        </w:rPr>
        <w:t xml:space="preserve">teknologji do të ofronin elektricitet me kosto të ulët dhe pa karbon në shkallë të gjerë. Një numër universitetesh dhe kompanish të njohura po eksplorojnë zgjidhje të reja të energjisë bërthamore. Por, këto energji aktualisht janë të </w:t>
      </w:r>
      <w:proofErr w:type="spellStart"/>
      <w:r w:rsidRPr="00DA08D9">
        <w:rPr>
          <w:lang w:val="sq"/>
        </w:rPr>
        <w:t>padisponueshme</w:t>
      </w:r>
      <w:proofErr w:type="spellEnd"/>
      <w:r w:rsidRPr="00DA08D9">
        <w:rPr>
          <w:lang w:val="sq"/>
        </w:rPr>
        <w:t xml:space="preserve"> dhe do të kërkonin investime të konsiderueshme për t’u bërë praktike në shkallë komerciale.</w:t>
      </w:r>
    </w:p>
    <w:p w:rsidR="00786F89" w:rsidRPr="00DA08D9" w:rsidRDefault="00D955DE" w:rsidP="00C66078">
      <w:pPr>
        <w:pStyle w:val="Heading1"/>
        <w:spacing w:after="120"/>
        <w:rPr>
          <w:lang w:val="sq"/>
        </w:rPr>
      </w:pPr>
      <w:bookmarkStart w:id="4" w:name="bookmark3"/>
      <w:r w:rsidRPr="00DA08D9">
        <w:rPr>
          <w:b/>
          <w:bCs/>
          <w:lang w:val="sq"/>
        </w:rPr>
        <w:t>Vendosni nëse mund të bëhen zhvillime të konsiderueshme në teknologjinë e heqjes së karbonit</w:t>
      </w:r>
      <w:r w:rsidRPr="00DA08D9">
        <w:rPr>
          <w:lang w:val="sq"/>
        </w:rPr>
        <w:t>.</w:t>
      </w:r>
      <w:bookmarkEnd w:id="4"/>
      <w:r w:rsidRPr="00DA08D9">
        <w:rPr>
          <w:lang w:val="sq"/>
        </w:rPr>
        <w:t xml:space="preserve"> Fusha</w:t>
      </w:r>
      <w:r w:rsidRPr="00DA08D9">
        <w:rPr>
          <w:rStyle w:val="Bodytext21"/>
          <w:lang w:val="sq"/>
        </w:rPr>
        <w:t xml:space="preserve"> e re e teknologjisë së heqjes së dyoksidit të karbonit (CDR) kërkon metoda për të hequr gazin </w:t>
      </w:r>
      <w:r w:rsidRPr="00DA08D9">
        <w:rPr>
          <w:lang w:val="sq"/>
        </w:rPr>
        <w:t>CO</w:t>
      </w:r>
      <w:r w:rsidRPr="00DA08D9">
        <w:rPr>
          <w:vertAlign w:val="subscript"/>
          <w:lang w:val="sq"/>
        </w:rPr>
        <w:t>2</w:t>
      </w:r>
      <w:r w:rsidRPr="00DA08D9">
        <w:rPr>
          <w:rStyle w:val="Bodytext26pt0"/>
          <w:lang w:val="sq"/>
        </w:rPr>
        <w:t xml:space="preserve"> </w:t>
      </w:r>
      <w:r w:rsidRPr="00DA08D9">
        <w:rPr>
          <w:rStyle w:val="Bodytext21"/>
          <w:lang w:val="sq"/>
        </w:rPr>
        <w:t xml:space="preserve">që ndodhet tashmë në atmosferë. Këto teknologji </w:t>
      </w:r>
      <w:proofErr w:type="spellStart"/>
      <w:r w:rsidRPr="00DA08D9">
        <w:rPr>
          <w:rStyle w:val="Bodytext21"/>
          <w:lang w:val="sq"/>
        </w:rPr>
        <w:t>variojnë</w:t>
      </w:r>
      <w:proofErr w:type="spellEnd"/>
      <w:r w:rsidRPr="00DA08D9">
        <w:rPr>
          <w:rStyle w:val="Bodytext21"/>
          <w:lang w:val="sq"/>
        </w:rPr>
        <w:t xml:space="preserve"> nga ndryshimet në praktikat bujqësore që mund të </w:t>
      </w:r>
      <w:proofErr w:type="spellStart"/>
      <w:r w:rsidRPr="00DA08D9">
        <w:rPr>
          <w:rStyle w:val="Bodytext21"/>
          <w:lang w:val="sq"/>
        </w:rPr>
        <w:t>implementohen</w:t>
      </w:r>
      <w:proofErr w:type="spellEnd"/>
      <w:r w:rsidRPr="00DA08D9">
        <w:rPr>
          <w:rStyle w:val="Bodytext21"/>
          <w:lang w:val="sq"/>
        </w:rPr>
        <w:t xml:space="preserve"> sot, deri te teknologjitë spekulative dhe të pavërtetuara si </w:t>
      </w:r>
      <w:proofErr w:type="spellStart"/>
      <w:r w:rsidRPr="00DA08D9">
        <w:rPr>
          <w:rStyle w:val="Bodytext21"/>
          <w:lang w:val="sq"/>
        </w:rPr>
        <w:t>Direct</w:t>
      </w:r>
      <w:proofErr w:type="spellEnd"/>
      <w:r w:rsidRPr="00DA08D9">
        <w:rPr>
          <w:rStyle w:val="Bodytext21"/>
          <w:lang w:val="sq"/>
        </w:rPr>
        <w:t xml:space="preserve"> </w:t>
      </w:r>
      <w:proofErr w:type="spellStart"/>
      <w:r w:rsidRPr="00DA08D9">
        <w:rPr>
          <w:rStyle w:val="Bodytext21"/>
          <w:lang w:val="sq"/>
        </w:rPr>
        <w:t>Air</w:t>
      </w:r>
      <w:proofErr w:type="spellEnd"/>
      <w:r w:rsidRPr="00DA08D9">
        <w:rPr>
          <w:rStyle w:val="Bodytext21"/>
          <w:lang w:val="sq"/>
        </w:rPr>
        <w:t xml:space="preserve"> </w:t>
      </w:r>
      <w:proofErr w:type="spellStart"/>
      <w:r w:rsidRPr="00DA08D9">
        <w:rPr>
          <w:rStyle w:val="Bodytext21"/>
          <w:lang w:val="sq"/>
        </w:rPr>
        <w:t>Capture</w:t>
      </w:r>
      <w:proofErr w:type="spellEnd"/>
      <w:r w:rsidRPr="00DA08D9">
        <w:rPr>
          <w:rStyle w:val="Bodytext21"/>
          <w:lang w:val="sq"/>
        </w:rPr>
        <w:t xml:space="preserve"> (DAC). Grupi juaj mund të vendosë të investojë në këto teknologji.</w:t>
      </w:r>
    </w:p>
    <w:p w:rsidR="00786F89" w:rsidRPr="00DA08D9" w:rsidRDefault="00D955DE" w:rsidP="00C66078">
      <w:pPr>
        <w:pStyle w:val="Bodytext50"/>
        <w:shd w:val="clear" w:color="auto" w:fill="auto"/>
        <w:spacing w:before="0" w:after="120" w:line="288" w:lineRule="auto"/>
        <w:rPr>
          <w:lang w:val="sq"/>
        </w:rPr>
      </w:pPr>
      <w:r w:rsidRPr="00DA08D9">
        <w:rPr>
          <w:lang w:val="sq"/>
        </w:rPr>
        <w:t>Konsideratat shtesë</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Reduktimi i përdorimit të karburanteve fosile është kritik për reduktimin e emetimeve të gazeve të efektit serrë për të zbutur ngrohjen globale dhe shqetësime të tjera të rëndësishme të shëndetit publik siç janë cilësia e ajrit dhe e ujit. Një </w:t>
      </w:r>
      <w:proofErr w:type="spellStart"/>
      <w:r w:rsidRPr="00DA08D9">
        <w:rPr>
          <w:lang w:val="sq"/>
        </w:rPr>
        <w:t>tranzicion</w:t>
      </w:r>
      <w:proofErr w:type="spellEnd"/>
      <w:r w:rsidRPr="00DA08D9">
        <w:rPr>
          <w:lang w:val="sq"/>
        </w:rPr>
        <w:t xml:space="preserve"> drejt një ekonomie me karbon të ulët kërkon ndryshime në infrastrukturë, modelet e biznesit, burime dhe investime. Ndërkohë që këto ndryshime do të kenë disa kosto në planin afatshkurtër, kostot për shoqërinë do të jenë edhe më të larta nëse konsumi i karburanteve fosile nuk reduktohet sa më shpejt të jetë e mundur.</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Kostot e energjive të </w:t>
      </w:r>
      <w:proofErr w:type="spellStart"/>
      <w:r w:rsidRPr="00DA08D9">
        <w:rPr>
          <w:lang w:val="sq"/>
        </w:rPr>
        <w:t>rinovueshme</w:t>
      </w:r>
      <w:proofErr w:type="spellEnd"/>
      <w:r w:rsidRPr="00DA08D9">
        <w:rPr>
          <w:lang w:val="sq"/>
        </w:rPr>
        <w:t xml:space="preserve"> si era dhe energjia diellore, magazinimi i energjisë, efikasiteti dhe teknologji të ngjashme po bien me shpejtësi përmes kërkim-zhvillimit, mësimi përmes punës, dhe ekonomitë e shkallës së lartë. Sa më të lira të bëhen, aq më e lartë është kërkesa dhe aq më shpejt bie kostoja. Subvencionet për teknologjinë e pastër do të përshpejtojë këtë rreth virtuoz dhe do të shpejtojë </w:t>
      </w:r>
      <w:proofErr w:type="spellStart"/>
      <w:r w:rsidRPr="00DA08D9">
        <w:rPr>
          <w:lang w:val="sq"/>
        </w:rPr>
        <w:t>tranzicionin</w:t>
      </w:r>
      <w:proofErr w:type="spellEnd"/>
      <w:r w:rsidRPr="00DA08D9">
        <w:rPr>
          <w:lang w:val="sq"/>
        </w:rPr>
        <w:t xml:space="preserve"> drejt një bote pa karbon, me energji të </w:t>
      </w:r>
      <w:proofErr w:type="spellStart"/>
      <w:r w:rsidRPr="00DA08D9">
        <w:rPr>
          <w:lang w:val="sq"/>
        </w:rPr>
        <w:t>rinovueshme</w:t>
      </w:r>
      <w:proofErr w:type="spellEnd"/>
      <w:r w:rsidRPr="00DA08D9">
        <w:rPr>
          <w:lang w:val="sq"/>
        </w:rPr>
        <w:t>, efikase dhe të shëndetshme.</w:t>
      </w:r>
    </w:p>
    <w:p w:rsidR="00786F89" w:rsidRPr="00DA08D9" w:rsidRDefault="00D955DE" w:rsidP="00C66078">
      <w:pPr>
        <w:pStyle w:val="Bodytext22"/>
        <w:shd w:val="clear" w:color="auto" w:fill="auto"/>
        <w:spacing w:before="0" w:line="288" w:lineRule="auto"/>
        <w:ind w:firstLine="0"/>
        <w:rPr>
          <w:lang w:val="sq"/>
        </w:rPr>
      </w:pPr>
      <w:r w:rsidRPr="00DA08D9">
        <w:rPr>
          <w:lang w:val="sq"/>
        </w:rPr>
        <w:t xml:space="preserve">Përkrahni politikat për të promovuar rritjen e shpejtë të industrive të reja që ju përfaqësoni, së bashku me fitimet dramatike në efikasitetin te përdoruesit për të siguruar energjinë e nevojshme për zhvillimin ekonomik në mbarë botën. Kujtojuni të tjerëve se njerëzit nuk duan tonelata qymyr ose fuçi me naftë, ata </w:t>
      </w:r>
      <w:r w:rsidRPr="00DA08D9">
        <w:rPr>
          <w:lang w:val="sq"/>
        </w:rPr>
        <w:lastRenderedPageBreak/>
        <w:t xml:space="preserve">duan shtëpi të ngrohta në dimër dhe të freskëta në verë. Ata duan </w:t>
      </w:r>
      <w:proofErr w:type="spellStart"/>
      <w:r w:rsidRPr="00DA08D9">
        <w:rPr>
          <w:lang w:val="sq"/>
        </w:rPr>
        <w:t>akses</w:t>
      </w:r>
      <w:proofErr w:type="spellEnd"/>
      <w:r w:rsidRPr="00DA08D9">
        <w:rPr>
          <w:lang w:val="sq"/>
        </w:rPr>
        <w:t xml:space="preserve"> në kujdesin shëndetësor. Ata duan punë të mira dhe mundësi për zhvillim ekonomik dhe kulturor. Efikasiteti energjetik, i kombinuar me energji të pastër, të </w:t>
      </w:r>
      <w:proofErr w:type="spellStart"/>
      <w:r w:rsidRPr="00DA08D9">
        <w:rPr>
          <w:lang w:val="sq"/>
        </w:rPr>
        <w:t>rinovueshme</w:t>
      </w:r>
      <w:proofErr w:type="spellEnd"/>
      <w:r w:rsidRPr="00DA08D9">
        <w:rPr>
          <w:lang w:val="sq"/>
        </w:rPr>
        <w:t>, pa karbon, është mënyra më e sigurt, më e lirë dhe më e shpejtë për t’u dhënë njerëzve shërbimet dhe mundësitë që atyre u nevojiten ndërkohë që reduktohen emetimet e gazeve të efektit serrë.</w:t>
      </w:r>
    </w:p>
    <w:p w:rsidR="00786F89" w:rsidRPr="00DA08D9" w:rsidRDefault="00D955DE" w:rsidP="00C66078">
      <w:pPr>
        <w:pStyle w:val="Bodytext22"/>
        <w:shd w:val="clear" w:color="auto" w:fill="auto"/>
        <w:spacing w:before="0" w:line="288" w:lineRule="auto"/>
        <w:ind w:firstLine="0"/>
        <w:rPr>
          <w:lang w:val="sq"/>
        </w:rPr>
      </w:pPr>
      <w:r w:rsidRPr="00DA08D9">
        <w:rPr>
          <w:lang w:val="sq"/>
        </w:rPr>
        <w:t>Megjithëse gazi CO</w:t>
      </w:r>
      <w:r w:rsidRPr="00DA08D9">
        <w:rPr>
          <w:vertAlign w:val="subscript"/>
          <w:lang w:val="sq"/>
        </w:rPr>
        <w:t>2</w:t>
      </w:r>
      <w:r w:rsidRPr="00DA08D9">
        <w:rPr>
          <w:lang w:val="sq"/>
        </w:rPr>
        <w:t xml:space="preserve"> nga përdorimi i lëndëve djegëse fosile kontribuon në shumicën e ndryshimit të klimës, gaze të tjera, duke përfshirë gazin metan (CH</w:t>
      </w:r>
      <w:r w:rsidRPr="00DA08D9">
        <w:rPr>
          <w:vertAlign w:val="subscript"/>
          <w:lang w:val="sq"/>
        </w:rPr>
        <w:t>4</w:t>
      </w:r>
      <w:r w:rsidRPr="00DA08D9">
        <w:rPr>
          <w:lang w:val="sq"/>
        </w:rPr>
        <w:t>) dhe oksidin e azotit (N</w:t>
      </w:r>
      <w:r w:rsidRPr="00DA08D9">
        <w:rPr>
          <w:vertAlign w:val="subscript"/>
          <w:lang w:val="sq"/>
        </w:rPr>
        <w:t>2</w:t>
      </w:r>
      <w:r w:rsidRPr="00DA08D9">
        <w:rPr>
          <w:lang w:val="sq"/>
        </w:rPr>
        <w:t>O) janë gaze të mundshme të efektit serrë dhe ndikimi i tyre po rritet. Bujqësia globale dhe praktikat me pyjet kontribuojnë shumë në emetimet e këtyre gazeve. Rrjedhja e metanit gjithashtu ndodh në nxjerrjen dhe shpërndarjen e gazit natyror. Duhet gjithashtu të vihen në zbatim politika që reduktojnë emetimet e gazeve të tjera të efektit serrë.</w:t>
      </w:r>
    </w:p>
    <w:sectPr w:rsidR="00786F89" w:rsidRPr="00DA08D9"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96C" w:rsidRDefault="001F496C">
      <w:pPr>
        <w:spacing w:line="240" w:lineRule="auto"/>
      </w:pPr>
      <w:r>
        <w:separator/>
      </w:r>
    </w:p>
  </w:endnote>
  <w:endnote w:type="continuationSeparator" w:id="0">
    <w:p w:rsidR="001F496C" w:rsidRDefault="001F49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DA08D9" w:rsidRDefault="00D955DE" w:rsidP="00DA08D9">
    <w:pPr>
      <w:pStyle w:val="Footer"/>
      <w:spacing w:before="120" w:line="240" w:lineRule="auto"/>
      <w:rPr>
        <w:i/>
        <w:sz w:val="20"/>
        <w:szCs w:val="20"/>
      </w:rPr>
    </w:pPr>
    <w:r w:rsidRPr="00DA08D9">
      <w:rPr>
        <w:i/>
        <w:iCs/>
        <w:sz w:val="20"/>
        <w:szCs w:val="20"/>
        <w:lang w:val="sq"/>
      </w:rPr>
      <w:t xml:space="preserve">Zhvilluar nga </w:t>
    </w:r>
    <w:proofErr w:type="spellStart"/>
    <w:r w:rsidRPr="00DA08D9">
      <w:rPr>
        <w:i/>
        <w:iCs/>
        <w:sz w:val="20"/>
        <w:szCs w:val="20"/>
        <w:lang w:val="sq"/>
      </w:rPr>
      <w:t>Climate</w:t>
    </w:r>
    <w:proofErr w:type="spellEnd"/>
    <w:r w:rsidRPr="00DA08D9">
      <w:rPr>
        <w:i/>
        <w:iCs/>
        <w:sz w:val="20"/>
        <w:szCs w:val="20"/>
        <w:lang w:val="sq"/>
      </w:rPr>
      <w:t xml:space="preserve"> </w:t>
    </w:r>
    <w:proofErr w:type="spellStart"/>
    <w:r w:rsidRPr="00DA08D9">
      <w:rPr>
        <w:i/>
        <w:iCs/>
        <w:sz w:val="20"/>
        <w:szCs w:val="20"/>
        <w:lang w:val="sq"/>
      </w:rPr>
      <w:t>Interactive</w:t>
    </w:r>
    <w:proofErr w:type="spellEnd"/>
    <w:r w:rsidRPr="00DA08D9">
      <w:rPr>
        <w:i/>
        <w:iCs/>
        <w:sz w:val="20"/>
        <w:szCs w:val="20"/>
        <w:lang w:val="sq"/>
      </w:rPr>
      <w:t xml:space="preserve">, MIT </w:t>
    </w:r>
    <w:proofErr w:type="spellStart"/>
    <w:r w:rsidRPr="00DA08D9">
      <w:rPr>
        <w:i/>
        <w:iCs/>
        <w:sz w:val="20"/>
        <w:szCs w:val="20"/>
        <w:lang w:val="sq"/>
      </w:rPr>
      <w:t>Sloan</w:t>
    </w:r>
    <w:proofErr w:type="spellEnd"/>
    <w:r w:rsidRPr="00DA08D9">
      <w:rPr>
        <w:i/>
        <w:iCs/>
        <w:sz w:val="20"/>
        <w:szCs w:val="20"/>
        <w:lang w:val="sq"/>
      </w:rPr>
      <w:t xml:space="preserve"> </w:t>
    </w:r>
    <w:proofErr w:type="spellStart"/>
    <w:r w:rsidRPr="00DA08D9">
      <w:rPr>
        <w:i/>
        <w:iCs/>
        <w:sz w:val="20"/>
        <w:szCs w:val="20"/>
        <w:lang w:val="sq"/>
      </w:rPr>
      <w:t>School</w:t>
    </w:r>
    <w:proofErr w:type="spellEnd"/>
    <w:r w:rsidRPr="00DA08D9">
      <w:rPr>
        <w:i/>
        <w:iCs/>
        <w:sz w:val="20"/>
        <w:szCs w:val="20"/>
        <w:lang w:val="sq"/>
      </w:rPr>
      <w:t xml:space="preserve"> </w:t>
    </w:r>
    <w:proofErr w:type="spellStart"/>
    <w:r w:rsidRPr="00DA08D9">
      <w:rPr>
        <w:i/>
        <w:iCs/>
        <w:sz w:val="20"/>
        <w:szCs w:val="20"/>
        <w:lang w:val="sq"/>
      </w:rPr>
      <w:t>of</w:t>
    </w:r>
    <w:proofErr w:type="spellEnd"/>
    <w:r w:rsidRPr="00DA08D9">
      <w:rPr>
        <w:i/>
        <w:iCs/>
        <w:sz w:val="20"/>
        <w:szCs w:val="20"/>
        <w:lang w:val="sq"/>
      </w:rPr>
      <w:t xml:space="preserve"> </w:t>
    </w:r>
    <w:proofErr w:type="spellStart"/>
    <w:r w:rsidRPr="00DA08D9">
      <w:rPr>
        <w:i/>
        <w:iCs/>
        <w:sz w:val="20"/>
        <w:szCs w:val="20"/>
        <w:lang w:val="sq"/>
      </w:rPr>
      <w:t>Management</w:t>
    </w:r>
    <w:proofErr w:type="spellEnd"/>
    <w:r w:rsidRPr="00DA08D9">
      <w:rPr>
        <w:i/>
        <w:iCs/>
        <w:sz w:val="20"/>
        <w:szCs w:val="20"/>
        <w:lang w:val="sq"/>
      </w:rPr>
      <w:t xml:space="preserve"> </w:t>
    </w:r>
    <w:proofErr w:type="spellStart"/>
    <w:r w:rsidRPr="00DA08D9">
      <w:rPr>
        <w:i/>
        <w:iCs/>
        <w:sz w:val="20"/>
        <w:szCs w:val="20"/>
        <w:lang w:val="sq"/>
      </w:rPr>
      <w:t>Sustainability</w:t>
    </w:r>
    <w:proofErr w:type="spellEnd"/>
    <w:r w:rsidRPr="00DA08D9">
      <w:rPr>
        <w:i/>
        <w:iCs/>
        <w:sz w:val="20"/>
        <w:szCs w:val="20"/>
        <w:lang w:val="sq"/>
      </w:rPr>
      <w:t xml:space="preserve"> </w:t>
    </w:r>
    <w:proofErr w:type="spellStart"/>
    <w:r w:rsidRPr="00DA08D9">
      <w:rPr>
        <w:i/>
        <w:iCs/>
        <w:sz w:val="20"/>
        <w:szCs w:val="20"/>
        <w:lang w:val="sq"/>
      </w:rPr>
      <w:t>Initiative</w:t>
    </w:r>
    <w:proofErr w:type="spellEnd"/>
    <w:r w:rsidRPr="00DA08D9">
      <w:rPr>
        <w:i/>
        <w:iCs/>
        <w:sz w:val="20"/>
        <w:szCs w:val="20"/>
        <w:lang w:val="sq"/>
      </w:rPr>
      <w:t xml:space="preserve">, ESB </w:t>
    </w:r>
    <w:proofErr w:type="spellStart"/>
    <w:r w:rsidRPr="00DA08D9">
      <w:rPr>
        <w:i/>
        <w:iCs/>
        <w:sz w:val="20"/>
        <w:szCs w:val="20"/>
        <w:lang w:val="sq"/>
      </w:rPr>
      <w:t>Business</w:t>
    </w:r>
    <w:proofErr w:type="spellEnd"/>
    <w:r w:rsidRPr="00DA08D9">
      <w:rPr>
        <w:i/>
        <w:iCs/>
        <w:sz w:val="20"/>
        <w:szCs w:val="20"/>
        <w:lang w:val="sq"/>
      </w:rPr>
      <w:t xml:space="preserve"> </w:t>
    </w:r>
    <w:proofErr w:type="spellStart"/>
    <w:r w:rsidRPr="00DA08D9">
      <w:rPr>
        <w:i/>
        <w:iCs/>
        <w:sz w:val="20"/>
        <w:szCs w:val="20"/>
        <w:lang w:val="sq"/>
      </w:rPr>
      <w:t>School</w:t>
    </w:r>
    <w:proofErr w:type="spellEnd"/>
    <w:r w:rsidRPr="00DA08D9">
      <w:rPr>
        <w:i/>
        <w:iCs/>
        <w:sz w:val="20"/>
        <w:szCs w:val="20"/>
        <w:lang w:val="sq"/>
      </w:rPr>
      <w:t xml:space="preserve"> dhe </w:t>
    </w:r>
    <w:proofErr w:type="spellStart"/>
    <w:r w:rsidRPr="00DA08D9">
      <w:rPr>
        <w:i/>
        <w:iCs/>
        <w:sz w:val="20"/>
        <w:szCs w:val="20"/>
        <w:lang w:val="sq"/>
      </w:rPr>
      <w:t>UMass</w:t>
    </w:r>
    <w:proofErr w:type="spellEnd"/>
    <w:r w:rsidRPr="00DA08D9">
      <w:rPr>
        <w:i/>
        <w:iCs/>
        <w:sz w:val="20"/>
        <w:szCs w:val="20"/>
        <w:lang w:val="sq"/>
      </w:rPr>
      <w:t xml:space="preserve"> </w:t>
    </w:r>
    <w:proofErr w:type="spellStart"/>
    <w:r w:rsidRPr="00DA08D9">
      <w:rPr>
        <w:i/>
        <w:iCs/>
        <w:sz w:val="20"/>
        <w:szCs w:val="20"/>
        <w:lang w:val="sq"/>
      </w:rPr>
      <w:t>Lowell</w:t>
    </w:r>
    <w:proofErr w:type="spellEnd"/>
    <w:r w:rsidRPr="00DA08D9">
      <w:rPr>
        <w:i/>
        <w:iCs/>
        <w:sz w:val="20"/>
        <w:szCs w:val="20"/>
        <w:lang w:val="sq"/>
      </w:rPr>
      <w:t xml:space="preserve"> </w:t>
    </w:r>
    <w:proofErr w:type="spellStart"/>
    <w:r w:rsidRPr="00DA08D9">
      <w:rPr>
        <w:i/>
        <w:iCs/>
        <w:sz w:val="20"/>
        <w:szCs w:val="20"/>
        <w:lang w:val="sq"/>
      </w:rPr>
      <w:t>Climate</w:t>
    </w:r>
    <w:proofErr w:type="spellEnd"/>
    <w:r w:rsidRPr="00DA08D9">
      <w:rPr>
        <w:i/>
        <w:iCs/>
        <w:sz w:val="20"/>
        <w:szCs w:val="20"/>
        <w:lang w:val="sq"/>
      </w:rPr>
      <w:t xml:space="preserve"> </w:t>
    </w:r>
    <w:proofErr w:type="spellStart"/>
    <w:r w:rsidRPr="00DA08D9">
      <w:rPr>
        <w:i/>
        <w:iCs/>
        <w:sz w:val="20"/>
        <w:szCs w:val="20"/>
        <w:lang w:val="sq"/>
      </w:rPr>
      <w:t>Change</w:t>
    </w:r>
    <w:proofErr w:type="spellEnd"/>
    <w:r w:rsidRPr="00DA08D9">
      <w:rPr>
        <w:i/>
        <w:iCs/>
        <w:sz w:val="20"/>
        <w:szCs w:val="20"/>
        <w:lang w:val="sq"/>
      </w:rPr>
      <w:t xml:space="preserve"> </w:t>
    </w:r>
    <w:proofErr w:type="spellStart"/>
    <w:r w:rsidRPr="00DA08D9">
      <w:rPr>
        <w:i/>
        <w:iCs/>
        <w:sz w:val="20"/>
        <w:szCs w:val="20"/>
        <w:lang w:val="sq"/>
      </w:rPr>
      <w:t>Initiative</w:t>
    </w:r>
    <w:proofErr w:type="spellEnd"/>
    <w:r w:rsidRPr="00DA08D9">
      <w:rPr>
        <w:i/>
        <w:iCs/>
        <w:sz w:val="20"/>
        <w:szCs w:val="20"/>
        <w:lang w:val="sq"/>
      </w:rPr>
      <w:t xml:space="preserve">. Përditësuar për herë të fundit në shtator 2019. </w:t>
    </w:r>
    <w:hyperlink r:id="rId1" w:history="1">
      <w:r w:rsidRPr="00DA08D9">
        <w:rPr>
          <w:i/>
          <w:iCs/>
          <w:sz w:val="20"/>
          <w:szCs w:val="20"/>
          <w:lang w:val="sq"/>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96C" w:rsidRDefault="001F496C">
      <w:pPr>
        <w:spacing w:line="240" w:lineRule="auto"/>
      </w:pPr>
      <w:r>
        <w:separator/>
      </w:r>
    </w:p>
  </w:footnote>
  <w:footnote w:type="continuationSeparator" w:id="0">
    <w:p w:rsidR="001F496C" w:rsidRDefault="001F496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085EE3"/>
    <w:rsid w:val="00100CF2"/>
    <w:rsid w:val="00165F70"/>
    <w:rsid w:val="001F496C"/>
    <w:rsid w:val="003F6609"/>
    <w:rsid w:val="00437EE2"/>
    <w:rsid w:val="005201FD"/>
    <w:rsid w:val="0056701E"/>
    <w:rsid w:val="005975BD"/>
    <w:rsid w:val="005D4ACE"/>
    <w:rsid w:val="00636CAE"/>
    <w:rsid w:val="006A531E"/>
    <w:rsid w:val="006C71BA"/>
    <w:rsid w:val="00786F89"/>
    <w:rsid w:val="00793B6C"/>
    <w:rsid w:val="008B1409"/>
    <w:rsid w:val="00A858E5"/>
    <w:rsid w:val="00AE6205"/>
    <w:rsid w:val="00C66078"/>
    <w:rsid w:val="00C72B5E"/>
    <w:rsid w:val="00CC6C1B"/>
    <w:rsid w:val="00D955DE"/>
    <w:rsid w:val="00DA08D9"/>
    <w:rsid w:val="00EA0E0C"/>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val="en-GB"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2"/>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00">
    <w:name w:val="Body text|2_0"/>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21">
    <w:name w:val="Body text|2_1"/>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_0"/>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2">
    <w:name w:val="Body text|2_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_0"/>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CTJJHAUHWN5E-644613129-617</_dlc_DocId>
    <_dlc_DocIdUrl xmlns="bfc960a6-20da-4c94-8684-71380fca093b">
      <Url>http://dm2016/eesc/2019/_layouts/15/DocIdRedir.aspx?ID=CTJJHAUHWN5E-644613129-617</Url>
      <Description>CTJJHAUHWN5E-644613129-617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2019-11-22T12:00:00+00:00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F65F9-7CFA-4FEA-93DB-2C7E6BFCF254}"/>
</file>

<file path=customXml/itemProps2.xml><?xml version="1.0" encoding="utf-8"?>
<ds:datastoreItem xmlns:ds="http://schemas.openxmlformats.org/officeDocument/2006/customXml" ds:itemID="{56E86FE1-3C81-4294-AFF2-187673F585CA}"/>
</file>

<file path=customXml/itemProps3.xml><?xml version="1.0" encoding="utf-8"?>
<ds:datastoreItem xmlns:ds="http://schemas.openxmlformats.org/officeDocument/2006/customXml" ds:itemID="{B43BBDDC-EB2B-466D-A2D6-EEBDA09F8C55}"/>
</file>

<file path=customXml/itemProps4.xml><?xml version="1.0" encoding="utf-8"?>
<ds:datastoreItem xmlns:ds="http://schemas.openxmlformats.org/officeDocument/2006/customXml" ds:itemID="{D01541F1-A99B-4570-9110-47CACFB79ADF}"/>
</file>

<file path=docProps/app.xml><?xml version="1.0" encoding="utf-8"?>
<Properties xmlns="http://schemas.openxmlformats.org/officeDocument/2006/extended-properties" xmlns:vt="http://schemas.openxmlformats.org/officeDocument/2006/docPropsVTypes">
  <Template>Normal.dotm</Template>
  <TotalTime>0</TotalTime>
  <Pages>3</Pages>
  <Words>1310</Words>
  <Characters>7470</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1 - Climate Action Simulation: Clean Tech </dc:title>
  <dc:creator/>
  <cp:keywords>EESC-2019-05163-00-00-INFO-TRA-EN</cp:keywords>
  <dc:description>Rapporteur:  - Original language: EN - Date of document: 22/11/2019 - Date of meeting:  - External documents:  - Administrator: MME Lahousse Chloé</dc:description>
  <cp:lastModifiedBy/>
  <cp:revision>1</cp:revision>
  <dcterms:created xsi:type="dcterms:W3CDTF">2019-11-22T10:49:00Z</dcterms:created>
  <dcterms:modified xsi:type="dcterms:W3CDTF">2019-11-22T10:49:00Z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d14d8cef-8a93-4aae-b043-4000326a6588</vt:lpwstr>
  </property>
  <property fmtid="{D5CDD505-2E9C-101B-9397-08002B2CF9AE}" pid="4" name="AvailableTranslations">
    <vt:lpwstr>246;#ME|925b3da5-5ac0-4b3c-928c-6ef66a5c9b3c;#154;#SQ|5ac17240-8d11-45ec-9893-659b209d7a00;#162;#TR|6e4ededd-04c4-4fa0-94e0-1028050302d5;#4;#EN|f2175f21-25d7-44a3-96da-d6a61b075e1b;#153;#SR|7f3a1d13-b985-4bfd-981e-afe31377edff;#152;#MK|34ce48bb-063e-4413-a932-50853dc71c5c;#21;#IT|0774613c-01ed-4e5d-a25d-11d2388de825</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11383</vt:i4>
  </property>
  <property fmtid="{D5CDD505-2E9C-101B-9397-08002B2CF9AE}" pid="13" name="DocumentStatus">
    <vt:lpwstr>2;#TRA|150d2a88-1431-44e6-a8ca-0bb753ab8672</vt:lpwstr>
  </property>
  <property fmtid="{D5CDD505-2E9C-101B-9397-08002B2CF9AE}" pid="14" name="DocumentPart">
    <vt:i4>0</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EN|f2175f21-25d7-44a3-96da-d6a61b075e1b;IT|0774613c-01ed-4e5d-a25d-11d2388de825</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21;#IT|0774613c-01ed-4e5d-a25d-11d2388de825;#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